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828" w:rsidRDefault="00596828">
      <w:pPr>
        <w:tabs>
          <w:tab w:val="left" w:pos="0"/>
        </w:tabs>
        <w:jc w:val="both"/>
        <w:rPr>
          <w:rFonts w:eastAsia="MS Mincho"/>
          <w:b/>
          <w:bCs/>
          <w:sz w:val="24"/>
          <w:szCs w:val="24"/>
        </w:rPr>
      </w:pPr>
    </w:p>
    <w:p w:rsidR="00596828" w:rsidRDefault="00596828">
      <w:pPr>
        <w:pStyle w:val="ad"/>
        <w:spacing w:before="5"/>
        <w:rPr>
          <w:rStyle w:val="FontStyle21"/>
          <w:rFonts w:ascii="Times New Roman" w:eastAsia="Calibri" w:hAnsi="Times New Roman" w:cs="Times New Roman"/>
          <w:b/>
          <w:bCs/>
          <w:sz w:val="22"/>
          <w:szCs w:val="22"/>
        </w:rPr>
      </w:pPr>
      <w:bookmarkStart w:id="0" w:name="undefined"/>
      <w:bookmarkStart w:id="1" w:name="_Ref472935425"/>
      <w:bookmarkStart w:id="2" w:name="_Ref472935822"/>
      <w:bookmarkStart w:id="3" w:name="_Hlk162880293"/>
      <w:bookmarkEnd w:id="0"/>
      <w:bookmarkEnd w:id="1"/>
      <w:bookmarkEnd w:id="2"/>
      <w:bookmarkEnd w:id="3"/>
    </w:p>
    <w:p w:rsidR="00596828" w:rsidRDefault="00D16767">
      <w:pPr>
        <w:pStyle w:val="10"/>
        <w:spacing w:line="274" w:lineRule="exact"/>
        <w:ind w:left="543"/>
        <w:rPr>
          <w:szCs w:val="24"/>
        </w:rPr>
      </w:pPr>
      <w:r>
        <w:rPr>
          <w:szCs w:val="24"/>
        </w:rPr>
        <w:t>ТЕХНИЧЕСКОЕ</w:t>
      </w:r>
      <w:r>
        <w:rPr>
          <w:spacing w:val="-4"/>
          <w:szCs w:val="24"/>
        </w:rPr>
        <w:t xml:space="preserve"> </w:t>
      </w:r>
      <w:r>
        <w:rPr>
          <w:spacing w:val="-2"/>
          <w:szCs w:val="24"/>
        </w:rPr>
        <w:t>ЗАДАНИЕ</w:t>
      </w:r>
    </w:p>
    <w:p w:rsidR="00596828" w:rsidRDefault="00D16767">
      <w:pPr>
        <w:ind w:left="709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 выполнение расчетов и проверку на термическую и динамическую устойчивость к токам </w:t>
      </w:r>
      <w:proofErr w:type="spellStart"/>
      <w:r>
        <w:rPr>
          <w:rFonts w:eastAsia="Calibri"/>
          <w:sz w:val="24"/>
          <w:szCs w:val="24"/>
          <w:lang w:eastAsia="en-US"/>
        </w:rPr>
        <w:t>к.з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силовых трансформаторов </w:t>
      </w:r>
      <w:proofErr w:type="spellStart"/>
      <w:r>
        <w:rPr>
          <w:rFonts w:eastAsia="Calibri"/>
          <w:sz w:val="24"/>
          <w:szCs w:val="24"/>
          <w:lang w:eastAsia="en-US"/>
        </w:rPr>
        <w:t>Затонской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ТЭЦ филиала ООО «БГК» на 2026 год.</w:t>
      </w:r>
    </w:p>
    <w:p w:rsidR="00596828" w:rsidRDefault="00596828">
      <w:pPr>
        <w:pStyle w:val="ad"/>
        <w:spacing w:before="2"/>
        <w:rPr>
          <w:szCs w:val="24"/>
        </w:rPr>
      </w:pPr>
    </w:p>
    <w:p w:rsidR="00596828" w:rsidRDefault="00596828">
      <w:pPr>
        <w:pStyle w:val="ad"/>
        <w:spacing w:line="237" w:lineRule="auto"/>
        <w:ind w:left="958" w:right="-34" w:firstLine="542"/>
        <w:jc w:val="both"/>
      </w:pPr>
    </w:p>
    <w:p w:rsidR="00596828" w:rsidRDefault="00D16767">
      <w:pPr>
        <w:pStyle w:val="ad"/>
        <w:spacing w:line="237" w:lineRule="auto"/>
        <w:ind w:left="426" w:right="-34"/>
        <w:jc w:val="both"/>
      </w:pPr>
      <w:r>
        <w:rPr>
          <w:b/>
          <w:bCs/>
          <w:szCs w:val="24"/>
        </w:rPr>
        <w:t>1. Наименование услуг (номенклатура) и перечень объектов, на которых будут оказываться услуги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Наименование услуг: выполнение расчетов и проверка на термическую и динамическую устойчивость к токам </w:t>
      </w:r>
      <w:proofErr w:type="spellStart"/>
      <w:r>
        <w:rPr>
          <w:szCs w:val="24"/>
        </w:rPr>
        <w:t>к.з</w:t>
      </w:r>
      <w:proofErr w:type="spellEnd"/>
      <w:r>
        <w:rPr>
          <w:szCs w:val="24"/>
        </w:rPr>
        <w:t>. силовых трансформаторов при нормальной схеме коммутации</w:t>
      </w:r>
      <w:r>
        <w:rPr>
          <w:szCs w:val="24"/>
        </w:rPr>
        <w:t xml:space="preserve"> сети и существующих уставках по времени в схемах релейной защиты;</w:t>
      </w:r>
      <w:r>
        <w:rPr>
          <w:szCs w:val="24"/>
          <w:highlight w:val="green"/>
        </w:rPr>
        <w:t xml:space="preserve"> выбор технических характеристик трансформаторов тока и подключенных к ним устройств релейной защиты требованиям к обеспечению правильной работы релейной защиты при коротких замыканиях, сопр</w:t>
      </w:r>
      <w:r>
        <w:rPr>
          <w:szCs w:val="24"/>
          <w:highlight w:val="green"/>
        </w:rPr>
        <w:t>овождающихся насыщением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Затонской</w:t>
      </w:r>
      <w:proofErr w:type="spellEnd"/>
      <w:r>
        <w:rPr>
          <w:szCs w:val="24"/>
        </w:rPr>
        <w:t xml:space="preserve"> ТЭЦ филиала ООО «БГК» на 2026 год.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Место размещения объекта: 450511, РБ, Уфимский район, с. Михайловка, ул. Дмитриевская, д.11. Режим работы с 8:30 до 17:15.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Почтовый адрес Заказчика: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450511, Республика Башкортостан, Уфимс</w:t>
      </w:r>
      <w:r>
        <w:rPr>
          <w:szCs w:val="24"/>
        </w:rPr>
        <w:t>кий р-н, с/п Михайловский сельсовет, а/я 32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  <w:szCs w:val="24"/>
        </w:rPr>
        <w:t>2. Общие требования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2.1. Основание для оказания услуг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>Основанием для оказания услуг является: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>РД 34.46.501 «Инструкция по эксплуатации трансформаторов».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Требования Приказа Министерства энергетики Российской феде</w:t>
      </w:r>
      <w:r>
        <w:rPr>
          <w:szCs w:val="24"/>
        </w:rPr>
        <w:t xml:space="preserve">рации от 13 июля 2020 г. № 555 «Об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систем, надежности и безопасности объектов </w:t>
      </w:r>
      <w:r>
        <w:rPr>
          <w:szCs w:val="24"/>
        </w:rPr>
        <w:t>электроэнергетики и энергопринимающих установок «Правила организации технического обслуживания и ремонта объектов электроэнергетики», утвержденные приказом Минэнерго России от 25 октября 2017г. №1013.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РД 153-34.0-35.617-2001 «Правила технического обслужива</w:t>
      </w:r>
      <w:r>
        <w:rPr>
          <w:szCs w:val="24"/>
        </w:rPr>
        <w:t xml:space="preserve">ния устройств релейной защиты, автоматики, дистанционного управления и сигнализации электростанций и подстанций 110-750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».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>СТО 34.01-23.1-001-2017 «Объём и нормы испытаний электрооборудования».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Оказание услуг проводится с целью предотвращения увеличения </w:t>
      </w:r>
      <w:r>
        <w:rPr>
          <w:szCs w:val="24"/>
        </w:rPr>
        <w:t xml:space="preserve">количества отказов функционирования и поддержания в технически исправном состоянии устройств релейной защиты и автоматики </w:t>
      </w:r>
      <w:proofErr w:type="spellStart"/>
      <w:r>
        <w:rPr>
          <w:szCs w:val="24"/>
        </w:rPr>
        <w:t>Затонской</w:t>
      </w:r>
      <w:proofErr w:type="spellEnd"/>
      <w:r>
        <w:rPr>
          <w:szCs w:val="24"/>
        </w:rPr>
        <w:t xml:space="preserve"> ТЭЦ ООО "БГК".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2.2. Требования к срокам оказания услуг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Сроки оказания услуг указаны в Приложении №2 к Договору (График оказания услуг).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2.3. Нормативные требования к качеству услуг, их результату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Услуги должны быть оказаны с соблюдением требований нормативно-правовых актов РФ, регулирующих данный вид деятельно</w:t>
      </w:r>
      <w:r>
        <w:rPr>
          <w:szCs w:val="24"/>
        </w:rPr>
        <w:t>сти, включая, но, не ограничиваясь: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t>РД 34.46.501 «Инструкция по эксплуатации трансформаторов».</w:t>
      </w:r>
    </w:p>
    <w:p w:rsidR="00596828" w:rsidRDefault="00D16767">
      <w:pPr>
        <w:pStyle w:val="ad"/>
        <w:numPr>
          <w:ilvl w:val="0"/>
          <w:numId w:val="27"/>
        </w:numPr>
        <w:jc w:val="both"/>
        <w:rPr>
          <w:highlight w:val="green"/>
        </w:rPr>
      </w:pPr>
      <w:r>
        <w:rPr>
          <w:szCs w:val="24"/>
          <w:highlight w:val="green"/>
        </w:rPr>
        <w:t>ГОСТ Р 71403-2024 Единая энергетическая система и изолированно работающие энергосистемы. Релейная защита и автоматика. Методические указания по определению парам</w:t>
      </w:r>
      <w:r>
        <w:rPr>
          <w:szCs w:val="24"/>
          <w:highlight w:val="green"/>
        </w:rPr>
        <w:t>етров электромагнитных трансформаторов тока для обеспечения правильного функционирования релейной защиты в переходных режимах;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t>РД 153-34.0-35.617-2001 «Правила технического обслуживания устройств релейной защиты, автоматики, дистанционного управления и сиг</w:t>
      </w:r>
      <w:r>
        <w:rPr>
          <w:szCs w:val="24"/>
        </w:rPr>
        <w:t xml:space="preserve">нализации электростанций и подстанций 110-750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»;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t>СТО 34.01-23.1-001-2017 «Объём и нормы испытаний электрооборудования»;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t xml:space="preserve">Федеральный закон «Об энергосбережении и о повышении энергетической эффективности, и о внесении изменений в отдельные законодательные </w:t>
      </w:r>
      <w:r>
        <w:rPr>
          <w:szCs w:val="24"/>
        </w:rPr>
        <w:t>акты Российской Федерации» от 23.11.2009 года № 261-ФЗ и другими нормативными правовыми документами, принятыми во исполнение ФЗ № 261-ФЗ;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t>Федеральный закон «Об обеспечении единства измерений» от 26.06.2008 года №102-ФЗ;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lastRenderedPageBreak/>
        <w:t xml:space="preserve">Приказ Минэнерго России от 25.10.2017 №1013 Правила организации технического обслуживания и ремонта объектов электроэнергетики (далее – Правила </w:t>
      </w:r>
      <w:proofErr w:type="spellStart"/>
      <w:r>
        <w:rPr>
          <w:szCs w:val="24"/>
        </w:rPr>
        <w:t>ТОиР</w:t>
      </w:r>
      <w:proofErr w:type="spellEnd"/>
      <w:r>
        <w:rPr>
          <w:szCs w:val="24"/>
        </w:rPr>
        <w:t>);</w:t>
      </w:r>
    </w:p>
    <w:p w:rsidR="00596828" w:rsidRDefault="00D16767">
      <w:pPr>
        <w:pStyle w:val="ad"/>
        <w:numPr>
          <w:ilvl w:val="0"/>
          <w:numId w:val="27"/>
        </w:numPr>
        <w:jc w:val="both"/>
        <w:rPr>
          <w:szCs w:val="24"/>
        </w:rPr>
      </w:pPr>
      <w:r>
        <w:rPr>
          <w:szCs w:val="24"/>
        </w:rPr>
        <w:t xml:space="preserve">Приказ Минэнерго России от 13.07.2020 N 555 "Об утверждении Правил технического обслуживания устройств и </w:t>
      </w:r>
      <w:r>
        <w:rPr>
          <w:szCs w:val="24"/>
        </w:rPr>
        <w:t>комплексов релейной защиты и автоматики и внесении изменений в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"Правила организации технического обслуживан</w:t>
      </w:r>
      <w:r>
        <w:rPr>
          <w:szCs w:val="24"/>
        </w:rPr>
        <w:t>ия и ремонта объектов электроэнергетики", утвержденные приказом Минэнерго России от 25 октября 2017 г. N 1013" (Зарегистрировано в Минюсте России 23.10.2020 N 60538);</w:t>
      </w:r>
    </w:p>
    <w:p w:rsidR="00596828" w:rsidRDefault="00D16767">
      <w:pPr>
        <w:pStyle w:val="ad"/>
        <w:numPr>
          <w:ilvl w:val="0"/>
          <w:numId w:val="27"/>
        </w:numPr>
        <w:jc w:val="both"/>
      </w:pPr>
      <w:r>
        <w:rPr>
          <w:szCs w:val="24"/>
        </w:rPr>
        <w:t>Заводские инструкции и ТУ на оборудование.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  <w:szCs w:val="24"/>
        </w:rPr>
        <w:t>3. Требования к оказанию услуг</w:t>
      </w: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  <w:szCs w:val="24"/>
        </w:rPr>
        <w:t>3.1. Объем ока</w:t>
      </w:r>
      <w:r>
        <w:rPr>
          <w:b/>
          <w:bCs/>
          <w:szCs w:val="24"/>
        </w:rPr>
        <w:t>зываемых услуг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Исполнитель должен оказать услуги по выполнению расчетов и проверке на термическую и динамическую устойчивость к токам </w:t>
      </w:r>
      <w:proofErr w:type="spellStart"/>
      <w:r>
        <w:rPr>
          <w:szCs w:val="24"/>
        </w:rPr>
        <w:t>к.з</w:t>
      </w:r>
      <w:proofErr w:type="spellEnd"/>
      <w:r>
        <w:rPr>
          <w:szCs w:val="24"/>
        </w:rPr>
        <w:t>. силовых трансформаторов при нормальной схеме коммутации сети и существующих уставках по времени в схемах релейной защ</w:t>
      </w:r>
      <w:r>
        <w:rPr>
          <w:szCs w:val="24"/>
        </w:rPr>
        <w:t xml:space="preserve">иты </w:t>
      </w:r>
      <w:r>
        <w:rPr>
          <w:szCs w:val="24"/>
          <w:highlight w:val="green"/>
        </w:rPr>
        <w:t xml:space="preserve">и по выбору технических характеристик трансформаторов тока и подключенных к ним устройств релейной защиты требованиям к обеспечению правильной работы релейной защиты при коротких замыканиях, сопровождающихся насыщением </w:t>
      </w:r>
      <w:proofErr w:type="spellStart"/>
      <w:r>
        <w:rPr>
          <w:szCs w:val="24"/>
        </w:rPr>
        <w:t>Затонской</w:t>
      </w:r>
      <w:proofErr w:type="spellEnd"/>
      <w:r>
        <w:rPr>
          <w:szCs w:val="24"/>
        </w:rPr>
        <w:t xml:space="preserve"> ТЭЦ филиала ООО «БГК» в</w:t>
      </w:r>
      <w:r>
        <w:rPr>
          <w:szCs w:val="24"/>
        </w:rPr>
        <w:t xml:space="preserve"> соответствии с Ведомостью объемов оказываемых услуг (Приложение №3 к Договору), а также документацией завода-изготовителя. </w:t>
      </w: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  <w:szCs w:val="24"/>
        </w:rPr>
        <w:t>3.2. Требования к последовательности этапов оказания услуг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>3.2.1. Последовательность этапов оказания услуг определена Графиком оказ</w:t>
      </w:r>
      <w:r>
        <w:rPr>
          <w:szCs w:val="24"/>
        </w:rPr>
        <w:t>ания услуг согласно Приложению №2 к Договору.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3.2.2. </w:t>
      </w:r>
      <w:r>
        <w:t xml:space="preserve">По завершении каждого этапа, отраженного в графике работ согласно Приложению № 2 к ТЗ, с целью промежуточного технического контроля выполнения работ в срок, Подрядчик обязан предоставлять подтверждающие </w:t>
      </w:r>
      <w:r>
        <w:t>документы (протоколы, акты выполненных работ и т.д.).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3.2.3. Услуги считаются оказанными после подписания Заказчиком Акта сдачи-приемки оказанных услуг.</w:t>
      </w: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  <w:szCs w:val="24"/>
        </w:rPr>
        <w:t>3.3. Требования к организации обеспечения услуг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3.3.1. Заказчик и Исполнитель распорядительными докумен</w:t>
      </w:r>
      <w:r>
        <w:rPr>
          <w:szCs w:val="24"/>
        </w:rPr>
        <w:t>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Исполнители технического обслуживания информируют друг друга письменно.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>3.3.2. При необходимости присут</w:t>
      </w:r>
      <w:r>
        <w:rPr>
          <w:szCs w:val="24"/>
        </w:rPr>
        <w:t xml:space="preserve">ствия представителей Исполнителя на объекте для выполнения работ (обследование объекта, сбор информации и т. д.) Исполнитель обеспечивает безопасность труда своего персонала в рамках принятого объема услуг в соответствии с требованиями правил охраны труда </w:t>
      </w:r>
      <w:r>
        <w:rPr>
          <w:szCs w:val="24"/>
        </w:rPr>
        <w:t>и противопожарной безопасности.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3.3.3. Получение исходных данных Исполнителем выполняется с выездом на объект, Заказчик обеспечивает организационную поддержку доступа представителей Исполнителя для получения информации. В случае отсутствия или недостаточно</w:t>
      </w:r>
      <w:r>
        <w:rPr>
          <w:szCs w:val="24"/>
        </w:rPr>
        <w:t>сти исходных данных Исполнитель направляет официальный запрос заводам-изготовителям оборудования для получения недостающих сведений.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3.3.4. Исполнитель в срок не менее чем за 5 дней до начала оказания услуг должен представить списки персонала, который буде</w:t>
      </w:r>
      <w:r>
        <w:rPr>
          <w:szCs w:val="24"/>
        </w:rPr>
        <w:t>т задействован при оказании услуг.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3.3.5. Исполнитель обязан обеспечить:</w:t>
      </w:r>
    </w:p>
    <w:p w:rsidR="00596828" w:rsidRDefault="00D16767">
      <w:pPr>
        <w:pStyle w:val="ad"/>
        <w:numPr>
          <w:ilvl w:val="0"/>
          <w:numId w:val="28"/>
        </w:numPr>
        <w:jc w:val="both"/>
      </w:pPr>
      <w:r>
        <w:rPr>
          <w:szCs w:val="24"/>
        </w:rPr>
        <w:t>выполнение согласованной номенклатуры и объёмов услуг;</w:t>
      </w:r>
    </w:p>
    <w:p w:rsidR="00596828" w:rsidRDefault="00D16767">
      <w:pPr>
        <w:pStyle w:val="ad"/>
        <w:numPr>
          <w:ilvl w:val="0"/>
          <w:numId w:val="28"/>
        </w:numPr>
        <w:jc w:val="both"/>
      </w:pPr>
      <w:r>
        <w:rPr>
          <w:szCs w:val="24"/>
        </w:rPr>
        <w:t>соблюдение согласованных сроков оказания услуг;</w:t>
      </w:r>
    </w:p>
    <w:p w:rsidR="00596828" w:rsidRDefault="00D16767">
      <w:pPr>
        <w:pStyle w:val="ad"/>
        <w:numPr>
          <w:ilvl w:val="0"/>
          <w:numId w:val="28"/>
        </w:numPr>
        <w:jc w:val="both"/>
      </w:pPr>
      <w:r>
        <w:rPr>
          <w:szCs w:val="24"/>
        </w:rPr>
        <w:t>соответствие квалификации персонала оказываемым услугам;</w:t>
      </w:r>
    </w:p>
    <w:p w:rsidR="00596828" w:rsidRDefault="00D16767">
      <w:pPr>
        <w:pStyle w:val="ad"/>
        <w:numPr>
          <w:ilvl w:val="0"/>
          <w:numId w:val="28"/>
        </w:numPr>
        <w:jc w:val="both"/>
      </w:pPr>
      <w:r>
        <w:rPr>
          <w:szCs w:val="24"/>
        </w:rPr>
        <w:t>соблюдение трудовой и производственной дисциплины, трудового распорядка дня, действующего на объектах ООО «БГК».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3.4. Требования к применяемым материалам и оборудованию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 xml:space="preserve">3.4.1 Все используемое для оказания услуг оборудование, программное обеспечение должно </w:t>
      </w:r>
      <w:r>
        <w:rPr>
          <w:szCs w:val="24"/>
        </w:rPr>
        <w:t xml:space="preserve">соответствовать нормативно-техническим документам, стандартам, а также иметь соответствующие сертификаты, технические паспорта, аттестаты и другие документы, предусмотренные действующим законодательством, а также удостоверяющие их качество. 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lastRenderedPageBreak/>
        <w:t>3.4.2 USB нако</w:t>
      </w:r>
      <w:r>
        <w:rPr>
          <w:szCs w:val="24"/>
        </w:rPr>
        <w:t xml:space="preserve">питель, на котором передается вся необходимая, оговоренная настоящим ТЗ документация должен иметь объем памяти не менее 32 Гб. На корпусе USB накопителя должен быть нанесен официальный логотип Исполнителя путем гравировки.  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3.5. Требования безопасности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</w:t>
      </w:r>
      <w:r>
        <w:rPr>
          <w:szCs w:val="24"/>
        </w:rPr>
        <w:t>5.1.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3.5.2. Исполнитель обеспечивает соблюдение своим персоналом правил внутреннего распор</w:t>
      </w:r>
      <w:r>
        <w:rPr>
          <w:szCs w:val="24"/>
        </w:rPr>
        <w:t xml:space="preserve">ядка предприятия, правил охраны труда, правил противопожарного режима (безопасности). 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3.5.3. Исполнитель обязан предоставлять Заказчику всю информацию о состоянии охраны труда, травматизме в своей организации при оказании услуг, являющихся предметом данно</w:t>
      </w:r>
      <w:r>
        <w:rPr>
          <w:szCs w:val="24"/>
        </w:rPr>
        <w:t xml:space="preserve">й закупки. Исполнитель обязан незамедлительно предоставлять оперативную информацию в отдел технологической безопасности филиала ООО «БГК» о произошедшем несчастном случае с персоналом на территории Заказчика. 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3.5.4. Исполнитель несет ответственность за пр</w:t>
      </w:r>
      <w:r>
        <w:rPr>
          <w:szCs w:val="24"/>
        </w:rPr>
        <w:t>ичиненные его персоналом убытки, связанные с конфликтами, нарушением дисциплины.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3.5.5. 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3.6. Тр</w:t>
      </w:r>
      <w:r>
        <w:rPr>
          <w:b/>
          <w:bCs/>
          <w:szCs w:val="24"/>
        </w:rPr>
        <w:t>ебования к порядку подготовки и передачи Заказчику документов при оказании услуг и их завершении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3.6.1. Исполнитель представляет Заказчику отчетную документацию, оформленную согласно требованиям, действующих НТД в срок не более 3 рабочих дней со дня оконча</w:t>
      </w:r>
      <w:r>
        <w:rPr>
          <w:szCs w:val="24"/>
        </w:rPr>
        <w:t>ния оказания услуг: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Отчет о выполнении расчетов и проверке на термическую и динамическую устойчивость к токам </w:t>
      </w:r>
      <w:proofErr w:type="spellStart"/>
      <w:r>
        <w:rPr>
          <w:szCs w:val="24"/>
        </w:rPr>
        <w:t>к.з</w:t>
      </w:r>
      <w:proofErr w:type="spellEnd"/>
      <w:r>
        <w:rPr>
          <w:szCs w:val="24"/>
        </w:rPr>
        <w:t xml:space="preserve">. силовых трансформаторов </w:t>
      </w:r>
      <w:r>
        <w:rPr>
          <w:rFonts w:eastAsia="Calibri"/>
          <w:szCs w:val="24"/>
          <w:lang w:eastAsia="en-US"/>
        </w:rPr>
        <w:t>при нормальной схеме коммутации сети и существующих уставках по времени в схемах релейной защиты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Затонской</w:t>
      </w:r>
      <w:proofErr w:type="spellEnd"/>
      <w:r>
        <w:rPr>
          <w:szCs w:val="24"/>
        </w:rPr>
        <w:t xml:space="preserve"> ТЭЦ предос</w:t>
      </w:r>
      <w:r>
        <w:rPr>
          <w:szCs w:val="24"/>
        </w:rPr>
        <w:t>тавляется:</w:t>
      </w:r>
    </w:p>
    <w:p w:rsidR="00596828" w:rsidRDefault="00D16767">
      <w:pPr>
        <w:pStyle w:val="ad"/>
        <w:numPr>
          <w:ilvl w:val="0"/>
          <w:numId w:val="29"/>
        </w:numPr>
        <w:jc w:val="both"/>
      </w:pPr>
      <w:r>
        <w:rPr>
          <w:szCs w:val="24"/>
        </w:rPr>
        <w:t>на бумажном носителе в двух экземплярах;</w:t>
      </w:r>
    </w:p>
    <w:p w:rsidR="00596828" w:rsidRDefault="00D16767">
      <w:pPr>
        <w:pStyle w:val="ad"/>
        <w:numPr>
          <w:ilvl w:val="0"/>
          <w:numId w:val="29"/>
        </w:numPr>
        <w:jc w:val="both"/>
      </w:pPr>
      <w:r>
        <w:rPr>
          <w:szCs w:val="24"/>
        </w:rPr>
        <w:t>в электронном виде на USB накопителе.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3.6.2. Исполнитель ежемесячно, в срок не позднее 25 числа отчетного месяца оказания услуг, предоставляет оформленные и согласованные с Заказчиком акты о сдаче-приемке</w:t>
      </w:r>
      <w:r>
        <w:rPr>
          <w:szCs w:val="24"/>
        </w:rPr>
        <w:t xml:space="preserve"> оказанных услуг, оригинал счета-фактуры и оригинал счета на оплату. 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Заказчик в течение 5 (пяти) рабочих дней, считая со дня следующего за датой получения Акта сдачи-приемки услуг, обязан рассмотреть и направить Исполнителю подписанный Акт сдачи-приемки у</w:t>
      </w:r>
      <w:r>
        <w:rPr>
          <w:szCs w:val="24"/>
        </w:rPr>
        <w:t xml:space="preserve">слуг или мотивированный письменный отказ от приемки услуг.  Первичные документы (акты сдачи-приемки оказанных услуг, счета-фактуры) должны быть проверены и согласованы всеми ответственными лицами и службами. 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Несоблюдение вышеуказанных сроков предоставлени</w:t>
      </w:r>
      <w:r>
        <w:rPr>
          <w:szCs w:val="24"/>
        </w:rPr>
        <w:t>я первичных документов является основанием для отказа в приёмке оказанных услуг.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3.7. Требования к гарантийным обязательствам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Исполнитель несёт ответственность перед Заказчиком за причинённый своими действиями или бездействиями ущерб оборудованию и зданиям</w:t>
      </w:r>
      <w:r>
        <w:rPr>
          <w:szCs w:val="24"/>
        </w:rPr>
        <w:t xml:space="preserve"> Заказчика в размере затрат на восстановление.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При обнаружении опечаток, ошибок при оформлении документации, при сдаче оказанных услуг Заказчику, исправление документации производится Исполнителем своими силами и за свой счет в наикратчайшее время.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Срок гарантии оказанных услуг устанавливается продолжительностью не менее 12 месяцев с момента подписания Заказчиком акта сдачи-приемки оказанных услуг.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В течение гарантийного срока Исполнитель устраняет все выявленные ошибки и недочеты за свой счет.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3.8. Ответственность Исполнителя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3.8.1. За нарушение условий ТЗ,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 либо соразмерного уменьшения</w:t>
      </w:r>
      <w:r>
        <w:rPr>
          <w:szCs w:val="24"/>
        </w:rPr>
        <w:t xml:space="preserve"> стоимости услуг.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3.8.2. Исполнитель несет ответственность за ненадлежащее оказание услуг и составление технической документации.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3.8.4. При обнаружении недостатков в технической документации или в оказанных услугах Исполнитель по требованию Заказчика обяз</w:t>
      </w:r>
      <w:r>
        <w:rPr>
          <w:szCs w:val="24"/>
        </w:rPr>
        <w:t>ан безвозмездно переделать техническую документацию и соответственно произвести необходимые дополнительные услуги.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lastRenderedPageBreak/>
        <w:t>3.8.5. Исполнитель, не предупредивший Заказчика о необходимости оказания дополнительных услуг, не учтенных в ТЗ, которые могут повлиять на ра</w:t>
      </w:r>
      <w:r>
        <w:rPr>
          <w:szCs w:val="24"/>
        </w:rPr>
        <w:t>ботоспособность оборудования, либо создают невозможность их завершения в срок, обязан возместить в полном объеме убытки, причинённые Заказчику.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3.8.6. Уплата неустойки и возмещение убытков не освобождает Исполнителя от оказания услуг по ТЗ и устранения нар</w:t>
      </w:r>
      <w:r>
        <w:rPr>
          <w:szCs w:val="24"/>
        </w:rPr>
        <w:t>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</w:t>
      </w:r>
      <w:r>
        <w:rPr>
          <w:szCs w:val="24"/>
        </w:rPr>
        <w:t>ены за оказанные услуги. При не устранении Исполнителем выявленных недостатков услуг 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причиненных убытков</w:t>
      </w:r>
      <w:r>
        <w:rPr>
          <w:szCs w:val="24"/>
        </w:rPr>
        <w:t>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3.8.7. В случае привлечения Исполнителем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 Исполнитель в полном объёме несёт ответственность за действия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, в том числе соблюдения персоналом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 производственной дисциплины.</w:t>
      </w:r>
    </w:p>
    <w:p w:rsidR="00596828" w:rsidRDefault="00D16767">
      <w:pPr>
        <w:pStyle w:val="ad"/>
        <w:ind w:firstLine="567"/>
        <w:jc w:val="both"/>
      </w:pPr>
      <w:r>
        <w:rPr>
          <w:b/>
          <w:bCs/>
          <w:szCs w:val="24"/>
        </w:rPr>
        <w:t>3.9. Требования к порядку и привлечению со</w:t>
      </w:r>
      <w:r>
        <w:rPr>
          <w:b/>
          <w:bCs/>
          <w:szCs w:val="24"/>
        </w:rPr>
        <w:t>исполнителей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 xml:space="preserve">3.9.1. Исполнитель для оказания услуг, указанных в ТЗ, может привлекать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. При этом объем оказываемых услуг, выполняемых привлекаемыми </w:t>
      </w:r>
      <w:proofErr w:type="spellStart"/>
      <w:r>
        <w:rPr>
          <w:szCs w:val="24"/>
        </w:rPr>
        <w:t>субисполнителями</w:t>
      </w:r>
      <w:proofErr w:type="spellEnd"/>
      <w:r>
        <w:rPr>
          <w:szCs w:val="24"/>
        </w:rPr>
        <w:t>, не должен превышать 50% от объема оказания услуг по договору.</w:t>
      </w:r>
    </w:p>
    <w:p w:rsidR="00596828" w:rsidRDefault="00D16767">
      <w:pPr>
        <w:pStyle w:val="ad"/>
        <w:ind w:firstLine="567"/>
        <w:jc w:val="both"/>
      </w:pPr>
      <w:r>
        <w:rPr>
          <w:szCs w:val="24"/>
        </w:rPr>
        <w:t>Исполнитель дол</w:t>
      </w:r>
      <w:r>
        <w:rPr>
          <w:szCs w:val="24"/>
        </w:rPr>
        <w:t xml:space="preserve">жен согласовать привлечение такого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 с Заказчиком.</w:t>
      </w:r>
    </w:p>
    <w:p w:rsidR="00596828" w:rsidRDefault="00D16767">
      <w:pPr>
        <w:pStyle w:val="ad"/>
        <w:ind w:firstLine="567"/>
        <w:jc w:val="both"/>
        <w:rPr>
          <w:szCs w:val="24"/>
        </w:rPr>
      </w:pPr>
      <w:r>
        <w:rPr>
          <w:szCs w:val="24"/>
        </w:rPr>
        <w:t xml:space="preserve">3.9.2. Исполнитель в полном объеме несет ответственность за действия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, соблюдение персоналом </w:t>
      </w:r>
      <w:proofErr w:type="spellStart"/>
      <w:r>
        <w:rPr>
          <w:szCs w:val="24"/>
        </w:rPr>
        <w:t>субисполнителя</w:t>
      </w:r>
      <w:proofErr w:type="spellEnd"/>
      <w:r>
        <w:rPr>
          <w:szCs w:val="24"/>
        </w:rPr>
        <w:t xml:space="preserve"> производственной дисциплины, соблюдением правил и норм по охране труда</w:t>
      </w:r>
      <w:r>
        <w:rPr>
          <w:szCs w:val="24"/>
        </w:rPr>
        <w:t>, а также за соответствие выполняемых услуг требованиям Заказчика и действующим нормативным документам.</w:t>
      </w: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</w:rPr>
        <w:t>4. Порядок формирования коммерческого предложения участника, обоснования цены, расчетов</w:t>
      </w:r>
    </w:p>
    <w:p w:rsidR="00596828" w:rsidRDefault="00D16767">
      <w:pPr>
        <w:pStyle w:val="ad"/>
        <w:ind w:firstLine="567"/>
        <w:jc w:val="both"/>
      </w:pPr>
      <w:r>
        <w:t>4.1. Участник предоставляет в составе своего предложения сводную</w:t>
      </w:r>
      <w:r>
        <w:t xml:space="preserve"> таблицу стоимости по форме Закупочной документации. </w:t>
      </w:r>
    </w:p>
    <w:p w:rsidR="00596828" w:rsidRDefault="00D16767">
      <w:pPr>
        <w:pStyle w:val="ad"/>
        <w:ind w:firstLine="567"/>
        <w:jc w:val="both"/>
      </w:pPr>
      <w:r>
        <w:t>4.2. Победитель закупочной процедуры в течение 3-х рабочих дней после публикации протокола выбора победителя предоставляет на согласование Заказчику сметные расчеты (в формате ГРАНД и редактируемом форм</w:t>
      </w:r>
      <w:r>
        <w:t xml:space="preserve">ате </w:t>
      </w:r>
      <w:proofErr w:type="spellStart"/>
      <w:r>
        <w:t>Excel</w:t>
      </w:r>
      <w:proofErr w:type="spellEnd"/>
      <w:r>
        <w:t>) как обоснование стоимости его конкурсной заявки.</w:t>
      </w:r>
    </w:p>
    <w:p w:rsidR="00596828" w:rsidRDefault="00D16767">
      <w:pPr>
        <w:pStyle w:val="ad"/>
        <w:ind w:firstLine="567"/>
        <w:jc w:val="both"/>
      </w:pPr>
      <w:r>
        <w:t xml:space="preserve">4.3. Порядок формирования обоснования цены, сметных расчетов изложен в Приложении №3 к ТЗ. </w:t>
      </w:r>
    </w:p>
    <w:p w:rsidR="00596828" w:rsidRDefault="00D16767">
      <w:pPr>
        <w:pStyle w:val="ad"/>
        <w:ind w:firstLine="567"/>
        <w:jc w:val="both"/>
      </w:pPr>
      <w:r>
        <w:t>С целью формирования стоимости оферты Участнику необходимо применять индекс пересчета в цены 2026 года п</w:t>
      </w:r>
      <w:r>
        <w:t>ринятый на этапе планирования.  При фактическом оказании услуг, Участник обязан применить индексы перевода в текущие цены, действующие в ООО «БГК» на момент оказания услуг.</w:t>
      </w:r>
    </w:p>
    <w:p w:rsidR="00596828" w:rsidRDefault="00D16767">
      <w:pPr>
        <w:pStyle w:val="ad"/>
        <w:ind w:firstLine="567"/>
        <w:jc w:val="both"/>
      </w:pPr>
      <w:r>
        <w:t>4.4. Договор на оказание услуг в объеме настоящего ТЗ заключается после согласовани</w:t>
      </w:r>
      <w:r>
        <w:t>я и утверждения смет заказчиком. После утверждения сметы Заказчиком величина затрат Исполнителя на оказание данных услуг в объеме настоящего ТЗ становится фиксированной и изменению в процессе выполнения договора не подлежит, даже если окажется, что в смете</w:t>
      </w:r>
      <w:r>
        <w:t xml:space="preserve"> Исполнитель учел не все свои затраты, которые он фактически понес при оказании данной услуги.</w:t>
      </w:r>
    </w:p>
    <w:p w:rsidR="00596828" w:rsidRDefault="00D16767">
      <w:pPr>
        <w:pStyle w:val="ad"/>
        <w:ind w:firstLine="567"/>
        <w:jc w:val="both"/>
      </w:pPr>
      <w:r>
        <w:t>4.5. Победитель закупки или Участник, с которым заключается договор, должен предоставить обеспечение исполнения договора в порядке, предусмотренном проектом дого</w:t>
      </w:r>
      <w:r>
        <w:t>вора (п.7 договора).</w:t>
      </w:r>
    </w:p>
    <w:p w:rsidR="00596828" w:rsidRDefault="00D16767">
      <w:pPr>
        <w:pStyle w:val="ad"/>
        <w:ind w:firstLine="567"/>
        <w:jc w:val="both"/>
      </w:pPr>
      <w:r>
        <w:t>4.6. Оплата оказанных услуг осуществляется в соответствии с проектом договора.</w:t>
      </w:r>
    </w:p>
    <w:p w:rsidR="00596828" w:rsidRDefault="00D16767">
      <w:pPr>
        <w:pStyle w:val="ad"/>
        <w:ind w:firstLine="567"/>
        <w:jc w:val="both"/>
      </w:pPr>
      <w:r>
        <w:t xml:space="preserve">     </w:t>
      </w: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</w:rPr>
        <w:t xml:space="preserve">  5. Требование к участникам закупки </w:t>
      </w:r>
    </w:p>
    <w:p w:rsidR="00596828" w:rsidRDefault="00D16767">
      <w:pPr>
        <w:pStyle w:val="ad"/>
        <w:ind w:firstLine="567"/>
        <w:jc w:val="both"/>
      </w:pPr>
      <w:r>
        <w:t>5.1. Требования о наличии кадровых ресурсов и их квалификации</w:t>
      </w:r>
    </w:p>
    <w:p w:rsidR="00596828" w:rsidRDefault="00D16767">
      <w:pPr>
        <w:pStyle w:val="ad"/>
        <w:ind w:firstLine="567"/>
        <w:jc w:val="both"/>
      </w:pPr>
      <w:r>
        <w:t>Участник закупки предоставляет в составе своего пр</w:t>
      </w:r>
      <w:r>
        <w:t>едложения документы (копии сертификатов, лицензий, свидетельств, удостоверений, справки, подписанные уполномоченным лицом, иные документы), подтверждающие наличие необходимого количества аттестованного персонала соответствующей квалификации для оказания ус</w:t>
      </w:r>
      <w:r>
        <w:t>луг, являющихся предметом закупки.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</w:pPr>
      <w:r>
        <w:t>5.2. Требования о наличии материально-технических ресурсов</w:t>
      </w:r>
    </w:p>
    <w:p w:rsidR="00596828" w:rsidRDefault="00D16767">
      <w:pPr>
        <w:pStyle w:val="ad"/>
        <w:ind w:firstLine="567"/>
        <w:jc w:val="both"/>
      </w:pPr>
      <w:r>
        <w:t>Участник закупки предоставляет в составе своего предложения документы (копии сертификатов, лицензий, свидетельств, справки, подписанные уполномоченным лицом, ины</w:t>
      </w:r>
      <w:r>
        <w:t xml:space="preserve">е документы), подтверждающие наличие соответствующих собственных материально-технических ресурсов </w:t>
      </w:r>
      <w:r>
        <w:lastRenderedPageBreak/>
        <w:t>(лабораторных стендов, контроллеров, программного обеспечения, оборудования и т.д.) либо предоставить данные о наличии соответствующих материально-технических</w:t>
      </w:r>
      <w:r>
        <w:t xml:space="preserve"> ресурсов у субподрядных организаций.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</w:pPr>
      <w:r>
        <w:t>5.3. Требования к измерительным приборам и инструментам</w:t>
      </w:r>
    </w:p>
    <w:p w:rsidR="00596828" w:rsidRDefault="00D16767">
      <w:pPr>
        <w:pStyle w:val="ad"/>
        <w:ind w:firstLine="567"/>
        <w:jc w:val="both"/>
      </w:pPr>
      <w:r>
        <w:t>Не требуется.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</w:pPr>
      <w:r>
        <w:t>5.4. Требование о наличии сертифицированных систем менеджмента</w:t>
      </w:r>
    </w:p>
    <w:p w:rsidR="00596828" w:rsidRDefault="00D16767">
      <w:pPr>
        <w:pStyle w:val="ad"/>
        <w:ind w:firstLine="567"/>
        <w:jc w:val="both"/>
      </w:pPr>
      <w:r>
        <w:t>Участник закупки предоставляет в составе своего предложения документы (копии сертификатов, лицензий, свидетельств, справки, подписанные уполномоченным лицом, иные документы), подтверждающие наличие у него системы менеджмента качества действующей в соответс</w:t>
      </w:r>
      <w:r>
        <w:t>твии с законодательными и нормативными актами РФ (ИСО 9001). Также желательным является, если участник закупки предоставит в составе своей заявки документы (копии сертификатов, лицензий, свидетельств, справки, подписанные уполномоченным лицом, иные докумен</w:t>
      </w:r>
      <w:r>
        <w:t>ты), подтверждающие наличие у него действующих систем менеджмента промышленной безопасности и охраны труда (</w:t>
      </w:r>
      <w:proofErr w:type="spellStart"/>
      <w:r>
        <w:t>СМПБиОТ</w:t>
      </w:r>
      <w:proofErr w:type="spellEnd"/>
      <w:r>
        <w:t>) (OHSAS 18000), экологического менеджмента (ISO 14000), энергетического менеджмента (ISO 50001/ГОСТ Р ИСО 50001).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</w:pPr>
      <w:r>
        <w:t>5.5. Требования о наличии</w:t>
      </w:r>
      <w:r>
        <w:t xml:space="preserve"> аккредитации в Группе «Интер РАО»</w:t>
      </w:r>
    </w:p>
    <w:p w:rsidR="00596828" w:rsidRDefault="00D16767">
      <w:pPr>
        <w:pStyle w:val="ad"/>
        <w:ind w:firstLine="567"/>
        <w:jc w:val="both"/>
      </w:pPr>
      <w: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</w:t>
      </w:r>
      <w:r>
        <w:t>частник предоставляет в составе своего предложения копию действующего Свидетельства об аккредитации в Группе «Интер РАО».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</w:pPr>
      <w:r>
        <w:t>5.6. Требования к опыту оказания аналогичных услуг</w:t>
      </w:r>
    </w:p>
    <w:p w:rsidR="00596828" w:rsidRDefault="00D16767">
      <w:pPr>
        <w:pStyle w:val="ad"/>
        <w:ind w:firstLine="567"/>
        <w:jc w:val="both"/>
      </w:pPr>
      <w:r>
        <w:t>Участник закупки предоставляет в составе своего предложения документы, подтверждаю</w:t>
      </w:r>
      <w:r>
        <w:t xml:space="preserve">щие наличие у него опыта оказания услуг по </w:t>
      </w:r>
      <w:r>
        <w:rPr>
          <w:rFonts w:eastAsia="Calibri"/>
          <w:szCs w:val="24"/>
          <w:lang w:eastAsia="en-US"/>
        </w:rPr>
        <w:t xml:space="preserve">выполнению расчетов и проверке на термическую и динамическую устойчивость к токам </w:t>
      </w:r>
      <w:proofErr w:type="spellStart"/>
      <w:r>
        <w:rPr>
          <w:rFonts w:eastAsia="Calibri"/>
          <w:szCs w:val="24"/>
          <w:lang w:eastAsia="en-US"/>
        </w:rPr>
        <w:t>к.з</w:t>
      </w:r>
      <w:proofErr w:type="spellEnd"/>
      <w:r>
        <w:rPr>
          <w:rFonts w:eastAsia="Calibri"/>
          <w:szCs w:val="24"/>
          <w:lang w:eastAsia="en-US"/>
        </w:rPr>
        <w:t>. силовых трансформаторов</w:t>
      </w:r>
      <w:r>
        <w:t xml:space="preserve"> в количестве не менее 3 (трех) исполненных договоров за последние 3 (три) года предшествующих дате под</w:t>
      </w:r>
      <w:r>
        <w:t>ачи заявки на участие в данной закупке.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</w:pPr>
      <w:r>
        <w:t>5.8. Требования к субподрядным организациям</w:t>
      </w:r>
    </w:p>
    <w:p w:rsidR="00596828" w:rsidRDefault="00D16767">
      <w:pPr>
        <w:pStyle w:val="ad"/>
        <w:ind w:firstLine="567"/>
        <w:jc w:val="both"/>
      </w:pPr>
      <w:r>
        <w:t xml:space="preserve"> Требования, указанные в пунктах 5.1.÷5.6 применимы к привлекаемым участниками соисполнителям, в объеме поручаемых им услуг согласно «Плану распределения работ между генер</w:t>
      </w:r>
      <w:r>
        <w:t>альным подрядчиком и субподрядными организациями». Документы, подтверждающие соответствие соисполнителей требованиям п. 5.1.÷5.6 данного технического задания, а также требованиям Закупочной документации, должны представляться в составе заявки участника.</w:t>
      </w:r>
    </w:p>
    <w:p w:rsidR="00596828" w:rsidRDefault="00596828">
      <w:pPr>
        <w:pStyle w:val="ad"/>
        <w:ind w:firstLine="567"/>
        <w:jc w:val="both"/>
      </w:pPr>
    </w:p>
    <w:p w:rsidR="00596828" w:rsidRDefault="00D16767">
      <w:pPr>
        <w:pStyle w:val="ad"/>
        <w:ind w:firstLine="567"/>
        <w:jc w:val="both"/>
        <w:rPr>
          <w:b/>
          <w:bCs/>
        </w:rPr>
      </w:pPr>
      <w:r>
        <w:rPr>
          <w:b/>
          <w:bCs/>
        </w:rPr>
        <w:t>6</w:t>
      </w:r>
      <w:r>
        <w:rPr>
          <w:b/>
          <w:bCs/>
        </w:rPr>
        <w:t>. Приложения</w:t>
      </w:r>
    </w:p>
    <w:p w:rsidR="00596828" w:rsidRDefault="00D16767">
      <w:pPr>
        <w:pStyle w:val="ad"/>
        <w:ind w:firstLine="567"/>
        <w:jc w:val="both"/>
      </w:pPr>
      <w:r>
        <w:t>Приложение №1 к ТЗ - Ведомость объемов оказываемых услуг;</w:t>
      </w:r>
    </w:p>
    <w:p w:rsidR="00596828" w:rsidRDefault="00D16767">
      <w:pPr>
        <w:pStyle w:val="ad"/>
        <w:ind w:firstLine="567"/>
        <w:jc w:val="both"/>
      </w:pPr>
      <w:r>
        <w:t>Приложение №2 к ТЗ - График оказания услуг;</w:t>
      </w:r>
    </w:p>
    <w:p w:rsidR="00596828" w:rsidRDefault="00D16767">
      <w:pPr>
        <w:pStyle w:val="ad"/>
        <w:ind w:firstLine="567"/>
        <w:jc w:val="both"/>
      </w:pPr>
      <w:r>
        <w:t>Приложение №3 к ТЗ - Рекомендации для формирования стоимости работ по техническому обслуживанию и ремонту энергетического оборудования.</w:t>
      </w:r>
    </w:p>
    <w:p w:rsidR="00596828" w:rsidRDefault="00596828">
      <w:pPr>
        <w:rPr>
          <w:color w:val="000000"/>
        </w:rPr>
      </w:pPr>
    </w:p>
    <w:p w:rsidR="00596828" w:rsidRDefault="00596828">
      <w:pPr>
        <w:rPr>
          <w:color w:val="000000"/>
        </w:rPr>
      </w:pPr>
    </w:p>
    <w:p w:rsidR="00596828" w:rsidRDefault="00596828">
      <w:bookmarkStart w:id="4" w:name="_GoBack"/>
      <w:bookmarkEnd w:id="4"/>
    </w:p>
    <w:sectPr w:rsidR="00596828">
      <w:footerReference w:type="even" r:id="rId8"/>
      <w:footerReference w:type="default" r:id="rId9"/>
      <w:pgSz w:w="11910" w:h="16840"/>
      <w:pgMar w:top="568" w:right="570" w:bottom="91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828" w:rsidRDefault="00D16767">
      <w:r>
        <w:separator/>
      </w:r>
    </w:p>
  </w:endnote>
  <w:endnote w:type="continuationSeparator" w:id="0">
    <w:p w:rsidR="00596828" w:rsidRDefault="00D1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828" w:rsidRDefault="00D16767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t>17</w:t>
    </w:r>
    <w:r>
      <w:rPr>
        <w:rStyle w:val="af2"/>
      </w:rPr>
      <w:fldChar w:fldCharType="end"/>
    </w:r>
  </w:p>
  <w:p w:rsidR="00596828" w:rsidRDefault="0059682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828" w:rsidRDefault="00596828">
    <w:pPr>
      <w:pStyle w:val="af0"/>
      <w:tabs>
        <w:tab w:val="clear" w:pos="8306"/>
        <w:tab w:val="right" w:pos="8789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828" w:rsidRDefault="00D16767">
      <w:r>
        <w:separator/>
      </w:r>
    </w:p>
  </w:footnote>
  <w:footnote w:type="continuationSeparator" w:id="0">
    <w:p w:rsidR="00596828" w:rsidRDefault="00D1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6951"/>
    <w:multiLevelType w:val="multilevel"/>
    <w:tmpl w:val="6176878C"/>
    <w:lvl w:ilvl="0">
      <w:start w:val="3"/>
      <w:numFmt w:val="decimal"/>
      <w:lvlText w:val="%1"/>
      <w:lvlJc w:val="left"/>
      <w:pPr>
        <w:ind w:left="1525" w:hanging="56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25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58" w:hanging="5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628" w:hanging="596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682" w:hanging="596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36" w:hanging="596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790" w:hanging="596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844" w:hanging="596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898" w:hanging="596"/>
      </w:pPr>
      <w:rPr>
        <w:rFonts w:hint="default"/>
        <w:lang w:val="ru-RU" w:eastAsia="en-US" w:bidi="ar-SA"/>
      </w:rPr>
    </w:lvl>
  </w:abstractNum>
  <w:abstractNum w:abstractNumId="1" w15:restartNumberingAfterBreak="0">
    <w:nsid w:val="0B321DED"/>
    <w:multiLevelType w:val="hybridMultilevel"/>
    <w:tmpl w:val="7A323760"/>
    <w:lvl w:ilvl="0" w:tplc="B9F6AA6A">
      <w:start w:val="1"/>
      <w:numFmt w:val="bullet"/>
      <w:lvlText w:val="-"/>
      <w:lvlJc w:val="left"/>
      <w:pPr>
        <w:ind w:left="22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 w:tplc="1D602FFC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54E42A36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B80AD6F0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665A2BB0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618E1DEA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1F764B5A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3F146C1A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A8BE2F74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" w15:restartNumberingAfterBreak="0">
    <w:nsid w:val="0F2B108D"/>
    <w:multiLevelType w:val="hybridMultilevel"/>
    <w:tmpl w:val="26E209AE"/>
    <w:lvl w:ilvl="0" w:tplc="ACDE679A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1B3088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4E00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872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E46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BCA9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2057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FC04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5471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7E423F"/>
    <w:multiLevelType w:val="hybridMultilevel"/>
    <w:tmpl w:val="626061E6"/>
    <w:lvl w:ilvl="0" w:tplc="17B495BC">
      <w:start w:val="1"/>
      <w:numFmt w:val="decimal"/>
      <w:lvlText w:val="4.%1.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E4E49B86">
      <w:start w:val="1"/>
      <w:numFmt w:val="decimal"/>
      <w:lvlText w:val="3.%2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2" w:tplc="021098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D2AD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567B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8E1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2EE3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DCEC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C616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86F10"/>
    <w:multiLevelType w:val="multilevel"/>
    <w:tmpl w:val="9E107620"/>
    <w:lvl w:ilvl="0">
      <w:start w:val="1"/>
      <w:numFmt w:val="decimal"/>
      <w:lvlText w:val="%1."/>
      <w:lvlJc w:val="left"/>
      <w:pPr>
        <w:ind w:left="958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8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449" w:hanging="42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9" w:hanging="42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588" w:hanging="42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658" w:hanging="42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728" w:hanging="42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797" w:hanging="42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867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1C1E5E2B"/>
    <w:multiLevelType w:val="multilevel"/>
    <w:tmpl w:val="1D22EE8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16F33AF"/>
    <w:multiLevelType w:val="hybridMultilevel"/>
    <w:tmpl w:val="078E14A6"/>
    <w:lvl w:ilvl="0" w:tplc="6ABC4408">
      <w:start w:val="1"/>
      <w:numFmt w:val="decimal"/>
      <w:lvlText w:val="%1)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7D628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F429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60C8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26A3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F69A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B67A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F26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9245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8022C"/>
    <w:multiLevelType w:val="multilevel"/>
    <w:tmpl w:val="252A2A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E838BE"/>
    <w:multiLevelType w:val="multilevel"/>
    <w:tmpl w:val="6CD83C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9" w15:restartNumberingAfterBreak="0">
    <w:nsid w:val="424A4C71"/>
    <w:multiLevelType w:val="hybridMultilevel"/>
    <w:tmpl w:val="A5D094F0"/>
    <w:lvl w:ilvl="0" w:tplc="6A8C00F8">
      <w:start w:val="1"/>
      <w:numFmt w:val="decimal"/>
      <w:lvlText w:val="6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64C67E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E2B7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1EE9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C09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A424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2218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4AF5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80A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1E09C0"/>
    <w:multiLevelType w:val="hybridMultilevel"/>
    <w:tmpl w:val="7B5C0A24"/>
    <w:lvl w:ilvl="0" w:tplc="4A086410">
      <w:start w:val="1"/>
      <w:numFmt w:val="decimal"/>
      <w:lvlText w:val="%1)"/>
      <w:lvlJc w:val="left"/>
      <w:pPr>
        <w:tabs>
          <w:tab w:val="num" w:pos="567"/>
        </w:tabs>
        <w:ind w:left="0" w:firstLine="567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490CC7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A24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84E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A46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66D9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2A6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CA9F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4E9F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F11407"/>
    <w:multiLevelType w:val="hybridMultilevel"/>
    <w:tmpl w:val="1C2E6A7E"/>
    <w:lvl w:ilvl="0" w:tplc="C3B82082">
      <w:start w:val="1"/>
      <w:numFmt w:val="decimal"/>
      <w:suff w:val="nothing"/>
      <w:lvlText w:val="%1."/>
      <w:lvlJc w:val="left"/>
      <w:pPr>
        <w:ind w:left="284" w:firstLine="22"/>
      </w:pPr>
      <w:rPr>
        <w:rFonts w:hint="default"/>
      </w:rPr>
    </w:lvl>
    <w:lvl w:ilvl="1" w:tplc="A118A8FC">
      <w:start w:val="1"/>
      <w:numFmt w:val="lowerLetter"/>
      <w:lvlText w:val="%2."/>
      <w:lvlJc w:val="left"/>
      <w:pPr>
        <w:ind w:left="1386" w:hanging="360"/>
      </w:pPr>
    </w:lvl>
    <w:lvl w:ilvl="2" w:tplc="7CC2C5AC">
      <w:start w:val="1"/>
      <w:numFmt w:val="lowerRoman"/>
      <w:lvlText w:val="%3."/>
      <w:lvlJc w:val="right"/>
      <w:pPr>
        <w:ind w:left="2106" w:hanging="180"/>
      </w:pPr>
    </w:lvl>
    <w:lvl w:ilvl="3" w:tplc="E0C8E3C2">
      <w:start w:val="1"/>
      <w:numFmt w:val="decimal"/>
      <w:lvlText w:val="%4."/>
      <w:lvlJc w:val="left"/>
      <w:pPr>
        <w:ind w:left="2826" w:hanging="360"/>
      </w:pPr>
    </w:lvl>
    <w:lvl w:ilvl="4" w:tplc="3886D79A">
      <w:start w:val="1"/>
      <w:numFmt w:val="lowerLetter"/>
      <w:lvlText w:val="%5."/>
      <w:lvlJc w:val="left"/>
      <w:pPr>
        <w:ind w:left="3546" w:hanging="360"/>
      </w:pPr>
    </w:lvl>
    <w:lvl w:ilvl="5" w:tplc="EE78F98E">
      <w:start w:val="1"/>
      <w:numFmt w:val="lowerRoman"/>
      <w:lvlText w:val="%6."/>
      <w:lvlJc w:val="right"/>
      <w:pPr>
        <w:ind w:left="4266" w:hanging="180"/>
      </w:pPr>
    </w:lvl>
    <w:lvl w:ilvl="6" w:tplc="4A16BDB4">
      <w:start w:val="1"/>
      <w:numFmt w:val="decimal"/>
      <w:lvlText w:val="%7."/>
      <w:lvlJc w:val="left"/>
      <w:pPr>
        <w:ind w:left="4986" w:hanging="360"/>
      </w:pPr>
    </w:lvl>
    <w:lvl w:ilvl="7" w:tplc="1C984920">
      <w:start w:val="1"/>
      <w:numFmt w:val="lowerLetter"/>
      <w:lvlText w:val="%8."/>
      <w:lvlJc w:val="left"/>
      <w:pPr>
        <w:ind w:left="5706" w:hanging="360"/>
      </w:pPr>
    </w:lvl>
    <w:lvl w:ilvl="8" w:tplc="AEB4D3B2">
      <w:start w:val="1"/>
      <w:numFmt w:val="lowerRoman"/>
      <w:lvlText w:val="%9."/>
      <w:lvlJc w:val="right"/>
      <w:pPr>
        <w:ind w:left="6426" w:hanging="180"/>
      </w:pPr>
    </w:lvl>
  </w:abstractNum>
  <w:abstractNum w:abstractNumId="12" w15:restartNumberingAfterBreak="0">
    <w:nsid w:val="48B92B0A"/>
    <w:multiLevelType w:val="hybridMultilevel"/>
    <w:tmpl w:val="C88E9CB6"/>
    <w:lvl w:ilvl="0" w:tplc="82EC26B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34CE0F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36AF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44B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D8FB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E856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B6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D8C2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41F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E2096"/>
    <w:multiLevelType w:val="hybridMultilevel"/>
    <w:tmpl w:val="88B63144"/>
    <w:lvl w:ilvl="0" w:tplc="6FAC75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6BC5D9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524A7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780C5A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728A7C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7E2AFB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5AA2F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67064F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E0E842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822475C"/>
    <w:multiLevelType w:val="hybridMultilevel"/>
    <w:tmpl w:val="A2BC8A36"/>
    <w:lvl w:ilvl="0" w:tplc="DB3288D2">
      <w:start w:val="1"/>
      <w:numFmt w:val="bullet"/>
      <w:lvlText w:val="-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1" w:tplc="78A0277C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 w:tplc="0D8AA8CC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 w:tplc="1AD6D39E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 w:tplc="F032756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 w:tplc="58B0D62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 w:tplc="39AE22E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 w:tplc="FB466D0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 w:tplc="E1620E4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5" w15:restartNumberingAfterBreak="0">
    <w:nsid w:val="5A6A56EB"/>
    <w:multiLevelType w:val="multilevel"/>
    <w:tmpl w:val="C214F3F8"/>
    <w:lvl w:ilvl="0">
      <w:start w:val="1"/>
      <w:numFmt w:val="upperRoman"/>
      <w:pStyle w:val="tez0"/>
      <w:lvlText w:val="Раздел %1."/>
      <w:lvlJc w:val="left"/>
      <w:pPr>
        <w:tabs>
          <w:tab w:val="num" w:pos="919"/>
        </w:tabs>
        <w:ind w:left="919" w:hanging="390"/>
      </w:pPr>
      <w:rPr>
        <w:rFonts w:hint="default"/>
      </w:rPr>
    </w:lvl>
    <w:lvl w:ilvl="1">
      <w:start w:val="1"/>
      <w:numFmt w:val="decimal"/>
      <w:pStyle w:val="tez01"/>
      <w:lvlText w:val="Ст. %1-%2."/>
      <w:lvlJc w:val="left"/>
      <w:pPr>
        <w:tabs>
          <w:tab w:val="num" w:pos="2495"/>
        </w:tabs>
        <w:ind w:left="0" w:firstLine="851"/>
      </w:pPr>
      <w:rPr>
        <w:rFonts w:hint="default"/>
      </w:rPr>
    </w:lvl>
    <w:lvl w:ilvl="2">
      <w:start w:val="1"/>
      <w:numFmt w:val="decimal"/>
      <w:pStyle w:val="tez012"/>
      <w:lvlText w:val="%1-%2.%3."/>
      <w:lvlJc w:val="left"/>
      <w:pPr>
        <w:tabs>
          <w:tab w:val="num" w:pos="1134"/>
        </w:tabs>
        <w:ind w:left="0" w:firstLine="0"/>
      </w:pPr>
      <w:rPr>
        <w:rFonts w:hint="default"/>
        <w:b/>
        <w:i w:val="0"/>
      </w:rPr>
    </w:lvl>
    <w:lvl w:ilvl="3">
      <w:start w:val="1"/>
      <w:numFmt w:val="lowerLetter"/>
      <w:pStyle w:val="tez012a"/>
      <w:lvlText w:val="%4."/>
      <w:lvlJc w:val="left"/>
      <w:pPr>
        <w:tabs>
          <w:tab w:val="num" w:pos="1701"/>
        </w:tabs>
        <w:ind w:left="1701" w:hanging="4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77"/>
        </w:tabs>
        <w:ind w:left="387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4"/>
        </w:tabs>
        <w:ind w:left="444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1"/>
        </w:tabs>
        <w:ind w:left="537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38"/>
        </w:tabs>
        <w:ind w:left="5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5"/>
        </w:tabs>
        <w:ind w:left="6865" w:hanging="1800"/>
      </w:pPr>
      <w:rPr>
        <w:rFonts w:hint="default"/>
      </w:rPr>
    </w:lvl>
  </w:abstractNum>
  <w:abstractNum w:abstractNumId="16" w15:restartNumberingAfterBreak="0">
    <w:nsid w:val="5FA8767B"/>
    <w:multiLevelType w:val="hybridMultilevel"/>
    <w:tmpl w:val="189A34A8"/>
    <w:lvl w:ilvl="0" w:tplc="71ECD2E6">
      <w:start w:val="1"/>
      <w:numFmt w:val="decimal"/>
      <w:lvlText w:val="%1)"/>
      <w:lvlJc w:val="left"/>
      <w:pPr>
        <w:tabs>
          <w:tab w:val="num" w:pos="567"/>
        </w:tabs>
        <w:ind w:left="0" w:firstLine="567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37BC96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10F2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E6F6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AACC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9A47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2AD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343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8A02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E856F2"/>
    <w:multiLevelType w:val="hybridMultilevel"/>
    <w:tmpl w:val="A3CC32BA"/>
    <w:lvl w:ilvl="0" w:tplc="9550B1FE">
      <w:start w:val="1"/>
      <w:numFmt w:val="lowerLetter"/>
      <w:lvlText w:val="%1)"/>
      <w:lvlJc w:val="left"/>
      <w:pPr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7B61DA0">
      <w:start w:val="1"/>
      <w:numFmt w:val="lowerLetter"/>
      <w:lvlText w:val="%2."/>
      <w:lvlJc w:val="left"/>
      <w:pPr>
        <w:ind w:left="1440" w:hanging="360"/>
      </w:pPr>
    </w:lvl>
    <w:lvl w:ilvl="2" w:tplc="DACAF69C">
      <w:start w:val="1"/>
      <w:numFmt w:val="lowerRoman"/>
      <w:lvlText w:val="%3."/>
      <w:lvlJc w:val="right"/>
      <w:pPr>
        <w:ind w:left="2160" w:hanging="180"/>
      </w:pPr>
    </w:lvl>
    <w:lvl w:ilvl="3" w:tplc="3EF47CF0">
      <w:start w:val="1"/>
      <w:numFmt w:val="decimal"/>
      <w:lvlText w:val="%4."/>
      <w:lvlJc w:val="left"/>
      <w:pPr>
        <w:ind w:left="2880" w:hanging="360"/>
      </w:pPr>
    </w:lvl>
    <w:lvl w:ilvl="4" w:tplc="6F4058A6">
      <w:start w:val="1"/>
      <w:numFmt w:val="lowerLetter"/>
      <w:lvlText w:val="%5."/>
      <w:lvlJc w:val="left"/>
      <w:pPr>
        <w:ind w:left="3600" w:hanging="360"/>
      </w:pPr>
    </w:lvl>
    <w:lvl w:ilvl="5" w:tplc="366E9830">
      <w:start w:val="1"/>
      <w:numFmt w:val="lowerRoman"/>
      <w:lvlText w:val="%6."/>
      <w:lvlJc w:val="right"/>
      <w:pPr>
        <w:ind w:left="4320" w:hanging="180"/>
      </w:pPr>
    </w:lvl>
    <w:lvl w:ilvl="6" w:tplc="F340A192">
      <w:start w:val="1"/>
      <w:numFmt w:val="decimal"/>
      <w:lvlText w:val="%7."/>
      <w:lvlJc w:val="left"/>
      <w:pPr>
        <w:ind w:left="5040" w:hanging="360"/>
      </w:pPr>
    </w:lvl>
    <w:lvl w:ilvl="7" w:tplc="08D887CE">
      <w:start w:val="1"/>
      <w:numFmt w:val="lowerLetter"/>
      <w:lvlText w:val="%8."/>
      <w:lvlJc w:val="left"/>
      <w:pPr>
        <w:ind w:left="5760" w:hanging="360"/>
      </w:pPr>
    </w:lvl>
    <w:lvl w:ilvl="8" w:tplc="7B62DD8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47BF8"/>
    <w:multiLevelType w:val="multilevel"/>
    <w:tmpl w:val="36A0EE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B74423"/>
    <w:multiLevelType w:val="multilevel"/>
    <w:tmpl w:val="3D94A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14A0461"/>
    <w:multiLevelType w:val="hybridMultilevel"/>
    <w:tmpl w:val="3F24B568"/>
    <w:lvl w:ilvl="0" w:tplc="E26E2C26">
      <w:start w:val="1"/>
      <w:numFmt w:val="bullet"/>
      <w:lvlText w:val="-"/>
      <w:lvlJc w:val="left"/>
      <w:pPr>
        <w:ind w:left="16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 w:tplc="0E4CFDCA">
      <w:start w:val="1"/>
      <w:numFmt w:val="bullet"/>
      <w:lvlText w:val="o"/>
      <w:lvlJc w:val="left"/>
      <w:pPr>
        <w:ind w:left="2398" w:hanging="360"/>
      </w:pPr>
      <w:rPr>
        <w:rFonts w:ascii="Courier New" w:hAnsi="Courier New" w:cs="Courier New" w:hint="default"/>
      </w:rPr>
    </w:lvl>
    <w:lvl w:ilvl="2" w:tplc="B950C6B4">
      <w:start w:val="1"/>
      <w:numFmt w:val="bullet"/>
      <w:lvlText w:val=""/>
      <w:lvlJc w:val="left"/>
      <w:pPr>
        <w:ind w:left="3118" w:hanging="360"/>
      </w:pPr>
      <w:rPr>
        <w:rFonts w:ascii="Wingdings" w:hAnsi="Wingdings" w:hint="default"/>
      </w:rPr>
    </w:lvl>
    <w:lvl w:ilvl="3" w:tplc="60F28636">
      <w:start w:val="1"/>
      <w:numFmt w:val="bullet"/>
      <w:lvlText w:val=""/>
      <w:lvlJc w:val="left"/>
      <w:pPr>
        <w:ind w:left="3838" w:hanging="360"/>
      </w:pPr>
      <w:rPr>
        <w:rFonts w:ascii="Symbol" w:hAnsi="Symbol" w:hint="default"/>
      </w:rPr>
    </w:lvl>
    <w:lvl w:ilvl="4" w:tplc="35429D46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5" w:tplc="1FBE070C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6" w:tplc="BBB0ED2C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7" w:tplc="41B05BF0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8" w:tplc="71FEB894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</w:abstractNum>
  <w:abstractNum w:abstractNumId="21" w15:restartNumberingAfterBreak="0">
    <w:nsid w:val="727E1C56"/>
    <w:multiLevelType w:val="multilevel"/>
    <w:tmpl w:val="7B0E4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40124B7"/>
    <w:multiLevelType w:val="hybridMultilevel"/>
    <w:tmpl w:val="6756E600"/>
    <w:lvl w:ilvl="0" w:tplc="367A53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480A83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872434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372505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26A98C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D8AB42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5BC1E3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5184F6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52F59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8F06864"/>
    <w:multiLevelType w:val="hybridMultilevel"/>
    <w:tmpl w:val="3B78D05E"/>
    <w:lvl w:ilvl="0" w:tplc="4D92432C">
      <w:start w:val="1"/>
      <w:numFmt w:val="bullet"/>
      <w:lvlText w:val="-"/>
      <w:lvlJc w:val="left"/>
      <w:pPr>
        <w:ind w:left="22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72A4EFC">
      <w:start w:val="1"/>
      <w:numFmt w:val="bullet"/>
      <w:lvlText w:val="o"/>
      <w:lvlJc w:val="left"/>
      <w:pPr>
        <w:ind w:left="2965" w:hanging="360"/>
      </w:pPr>
      <w:rPr>
        <w:rFonts w:ascii="Courier New" w:hAnsi="Courier New" w:cs="Courier New" w:hint="default"/>
      </w:rPr>
    </w:lvl>
    <w:lvl w:ilvl="2" w:tplc="6A0A6D02">
      <w:start w:val="1"/>
      <w:numFmt w:val="bullet"/>
      <w:lvlText w:val=""/>
      <w:lvlJc w:val="left"/>
      <w:pPr>
        <w:ind w:left="3685" w:hanging="360"/>
      </w:pPr>
      <w:rPr>
        <w:rFonts w:ascii="Wingdings" w:hAnsi="Wingdings" w:hint="default"/>
      </w:rPr>
    </w:lvl>
    <w:lvl w:ilvl="3" w:tplc="7BE44A9A">
      <w:start w:val="1"/>
      <w:numFmt w:val="bullet"/>
      <w:lvlText w:val=""/>
      <w:lvlJc w:val="left"/>
      <w:pPr>
        <w:ind w:left="4405" w:hanging="360"/>
      </w:pPr>
      <w:rPr>
        <w:rFonts w:ascii="Symbol" w:hAnsi="Symbol" w:hint="default"/>
      </w:rPr>
    </w:lvl>
    <w:lvl w:ilvl="4" w:tplc="4EEAFB5C">
      <w:start w:val="1"/>
      <w:numFmt w:val="bullet"/>
      <w:lvlText w:val="o"/>
      <w:lvlJc w:val="left"/>
      <w:pPr>
        <w:ind w:left="5125" w:hanging="360"/>
      </w:pPr>
      <w:rPr>
        <w:rFonts w:ascii="Courier New" w:hAnsi="Courier New" w:cs="Courier New" w:hint="default"/>
      </w:rPr>
    </w:lvl>
    <w:lvl w:ilvl="5" w:tplc="84DE9FB0">
      <w:start w:val="1"/>
      <w:numFmt w:val="bullet"/>
      <w:lvlText w:val=""/>
      <w:lvlJc w:val="left"/>
      <w:pPr>
        <w:ind w:left="5845" w:hanging="360"/>
      </w:pPr>
      <w:rPr>
        <w:rFonts w:ascii="Wingdings" w:hAnsi="Wingdings" w:hint="default"/>
      </w:rPr>
    </w:lvl>
    <w:lvl w:ilvl="6" w:tplc="BDAE75D0">
      <w:start w:val="1"/>
      <w:numFmt w:val="bullet"/>
      <w:lvlText w:val=""/>
      <w:lvlJc w:val="left"/>
      <w:pPr>
        <w:ind w:left="6565" w:hanging="360"/>
      </w:pPr>
      <w:rPr>
        <w:rFonts w:ascii="Symbol" w:hAnsi="Symbol" w:hint="default"/>
      </w:rPr>
    </w:lvl>
    <w:lvl w:ilvl="7" w:tplc="2FFE8CC8">
      <w:start w:val="1"/>
      <w:numFmt w:val="bullet"/>
      <w:lvlText w:val="o"/>
      <w:lvlJc w:val="left"/>
      <w:pPr>
        <w:ind w:left="7285" w:hanging="360"/>
      </w:pPr>
      <w:rPr>
        <w:rFonts w:ascii="Courier New" w:hAnsi="Courier New" w:cs="Courier New" w:hint="default"/>
      </w:rPr>
    </w:lvl>
    <w:lvl w:ilvl="8" w:tplc="52166F50">
      <w:start w:val="1"/>
      <w:numFmt w:val="bullet"/>
      <w:lvlText w:val=""/>
      <w:lvlJc w:val="left"/>
      <w:pPr>
        <w:ind w:left="8005" w:hanging="360"/>
      </w:pPr>
      <w:rPr>
        <w:rFonts w:ascii="Wingdings" w:hAnsi="Wingdings" w:hint="default"/>
      </w:rPr>
    </w:lvl>
  </w:abstractNum>
  <w:abstractNum w:abstractNumId="24" w15:restartNumberingAfterBreak="0">
    <w:nsid w:val="79E11263"/>
    <w:multiLevelType w:val="multilevel"/>
    <w:tmpl w:val="152EF8B0"/>
    <w:lvl w:ilvl="0">
      <w:start w:val="1"/>
      <w:numFmt w:val="decimal"/>
      <w:pStyle w:val="1"/>
      <w:lvlText w:val="%1."/>
      <w:lvlJc w:val="left"/>
      <w:pPr>
        <w:tabs>
          <w:tab w:val="num" w:pos="2127"/>
        </w:tabs>
        <w:ind w:left="993" w:firstLine="709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560"/>
        </w:tabs>
        <w:ind w:left="284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11"/>
        </w:tabs>
        <w:ind w:left="99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25" w15:restartNumberingAfterBreak="0">
    <w:nsid w:val="7A154A18"/>
    <w:multiLevelType w:val="hybridMultilevel"/>
    <w:tmpl w:val="87067A8E"/>
    <w:lvl w:ilvl="0" w:tplc="360E1774">
      <w:start w:val="1"/>
      <w:numFmt w:val="decimal"/>
      <w:lvlText w:val="6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289691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F61D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0AC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70BB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3266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56EA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9C4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C200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466201"/>
    <w:multiLevelType w:val="hybridMultilevel"/>
    <w:tmpl w:val="348A13BE"/>
    <w:lvl w:ilvl="0" w:tplc="B69E62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B5617C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532391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4ACB7A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7E45D0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1E6EDF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A3CB42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CF4BDE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2A8B54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5"/>
  </w:num>
  <w:num w:numId="4">
    <w:abstractNumId w:val="3"/>
  </w:num>
  <w:num w:numId="5">
    <w:abstractNumId w:val="6"/>
  </w:num>
  <w:num w:numId="6">
    <w:abstractNumId w:val="10"/>
  </w:num>
  <w:num w:numId="7">
    <w:abstractNumId w:val="2"/>
  </w:num>
  <w:num w:numId="8">
    <w:abstractNumId w:val="25"/>
  </w:num>
  <w:num w:numId="9">
    <w:abstractNumId w:val="21"/>
  </w:num>
  <w:num w:numId="10">
    <w:abstractNumId w:val="18"/>
  </w:num>
  <w:num w:numId="11">
    <w:abstractNumId w:val="24"/>
  </w:num>
  <w:num w:numId="12">
    <w:abstractNumId w:val="17"/>
  </w:num>
  <w:num w:numId="13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84"/>
          </w:tabs>
          <w:ind w:left="567" w:hanging="56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60"/>
          </w:tabs>
          <w:ind w:left="284" w:hanging="284"/>
        </w:pPr>
        <w:rPr>
          <w:rFonts w:ascii="Times New Roman" w:eastAsia="Times New Roman" w:hAnsi="Times New Roman"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</w:num>
  <w:num w:numId="14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</w:tabs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60"/>
          </w:tabs>
          <w:ind w:left="284" w:hanging="284"/>
        </w:pPr>
        <w:rPr>
          <w:rFonts w:hint="default"/>
        </w:rPr>
      </w:lvl>
    </w:lvlOverride>
  </w:num>
  <w:num w:numId="15">
    <w:abstractNumId w:val="7"/>
  </w:num>
  <w:num w:numId="16">
    <w:abstractNumId w:val="0"/>
  </w:num>
  <w:num w:numId="17">
    <w:abstractNumId w:val="4"/>
  </w:num>
  <w:num w:numId="18">
    <w:abstractNumId w:val="23"/>
  </w:num>
  <w:num w:numId="19">
    <w:abstractNumId w:val="1"/>
  </w:num>
  <w:num w:numId="20">
    <w:abstractNumId w:val="20"/>
  </w:num>
  <w:num w:numId="21">
    <w:abstractNumId w:val="16"/>
  </w:num>
  <w:num w:numId="22">
    <w:abstractNumId w:val="9"/>
  </w:num>
  <w:num w:numId="23">
    <w:abstractNumId w:val="11"/>
  </w:num>
  <w:num w:numId="24">
    <w:abstractNumId w:val="12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6"/>
  </w:num>
  <w:num w:numId="28">
    <w:abstractNumId w:val="1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828"/>
    <w:rsid w:val="00596828"/>
    <w:rsid w:val="00D1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B5DF8-46F7-4C90-A2E2-31F4D6C9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jc w:val="center"/>
      <w:outlineLvl w:val="0"/>
    </w:pPr>
    <w:rPr>
      <w:b/>
      <w:sz w:val="24"/>
    </w:rPr>
  </w:style>
  <w:style w:type="paragraph" w:styleId="20">
    <w:name w:val="heading 2"/>
    <w:basedOn w:val="a"/>
    <w:next w:val="a"/>
    <w:link w:val="21"/>
    <w:qFormat/>
    <w:pPr>
      <w:keepNext/>
      <w:jc w:val="both"/>
      <w:outlineLvl w:val="1"/>
    </w:pPr>
    <w:rPr>
      <w:sz w:val="24"/>
    </w:rPr>
  </w:style>
  <w:style w:type="paragraph" w:styleId="30">
    <w:name w:val="heading 3"/>
    <w:basedOn w:val="a"/>
    <w:next w:val="a"/>
    <w:link w:val="31"/>
    <w:qFormat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pPr>
      <w:keepNext/>
      <w:ind w:firstLine="720"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left="6237" w:firstLine="720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8">
    <w:name w:val="Название объекта Знак"/>
    <w:link w:val="a7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</w:style>
  <w:style w:type="paragraph" w:styleId="ab">
    <w:name w:val="Title"/>
    <w:basedOn w:val="a"/>
    <w:link w:val="ac"/>
    <w:qFormat/>
    <w:pPr>
      <w:jc w:val="center"/>
    </w:pPr>
    <w:rPr>
      <w:b/>
      <w:sz w:val="28"/>
    </w:rPr>
  </w:style>
  <w:style w:type="character" w:customStyle="1" w:styleId="ac">
    <w:name w:val="Заголовок Знак"/>
    <w:link w:val="ab"/>
    <w:rPr>
      <w:b/>
      <w:sz w:val="28"/>
      <w:lang w:val="ru-RU" w:eastAsia="ru-RU" w:bidi="ar-SA"/>
    </w:rPr>
  </w:style>
  <w:style w:type="paragraph" w:styleId="ad">
    <w:name w:val="Body Text"/>
    <w:basedOn w:val="a"/>
    <w:link w:val="ae"/>
    <w:rPr>
      <w:sz w:val="24"/>
    </w:rPr>
  </w:style>
  <w:style w:type="character" w:customStyle="1" w:styleId="ae">
    <w:name w:val="Основной текст Знак"/>
    <w:link w:val="ad"/>
    <w:rPr>
      <w:sz w:val="24"/>
      <w:lang w:val="ru-RU" w:eastAsia="ru-RU" w:bidi="ar-SA"/>
    </w:rPr>
  </w:style>
  <w:style w:type="paragraph" w:styleId="af">
    <w:name w:val="Body Text Indent"/>
    <w:basedOn w:val="a"/>
    <w:pPr>
      <w:ind w:left="1418"/>
      <w:jc w:val="both"/>
    </w:pPr>
    <w:rPr>
      <w:b/>
      <w:sz w:val="18"/>
    </w:rPr>
  </w:style>
  <w:style w:type="paragraph" w:customStyle="1" w:styleId="Iauiue">
    <w:name w:val="Iau?iue"/>
    <w:rPr>
      <w:color w:val="000000"/>
      <w:sz w:val="24"/>
    </w:rPr>
  </w:style>
  <w:style w:type="paragraph" w:styleId="26">
    <w:name w:val="Body Text 2"/>
    <w:basedOn w:val="a"/>
    <w:pPr>
      <w:jc w:val="both"/>
    </w:pPr>
    <w:rPr>
      <w:sz w:val="24"/>
    </w:rPr>
  </w:style>
  <w:style w:type="paragraph" w:styleId="af0">
    <w:name w:val="footer"/>
    <w:basedOn w:val="a"/>
    <w:link w:val="af1"/>
    <w:uiPriority w:val="99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link w:val="af0"/>
    <w:uiPriority w:val="99"/>
  </w:style>
  <w:style w:type="character" w:styleId="af2">
    <w:name w:val="page number"/>
    <w:basedOn w:val="a0"/>
    <w:uiPriority w:val="99"/>
  </w:style>
  <w:style w:type="paragraph" w:styleId="27">
    <w:name w:val="Body Text Indent 2"/>
    <w:basedOn w:val="a"/>
    <w:pPr>
      <w:ind w:firstLine="720"/>
      <w:jc w:val="both"/>
    </w:pPr>
    <w:rPr>
      <w:sz w:val="26"/>
    </w:rPr>
  </w:style>
  <w:style w:type="paragraph" w:styleId="34">
    <w:name w:val="Body Text Indent 3"/>
    <w:basedOn w:val="a"/>
    <w:pPr>
      <w:ind w:firstLine="720"/>
    </w:pPr>
    <w:rPr>
      <w:sz w:val="26"/>
    </w:rPr>
  </w:style>
  <w:style w:type="paragraph" w:styleId="af3">
    <w:name w:val="header"/>
    <w:basedOn w:val="a"/>
    <w:link w:val="af4"/>
    <w:uiPriority w:val="99"/>
    <w:pPr>
      <w:tabs>
        <w:tab w:val="center" w:pos="4153"/>
        <w:tab w:val="right" w:pos="8306"/>
      </w:tabs>
    </w:pPr>
  </w:style>
  <w:style w:type="character" w:customStyle="1" w:styleId="af4">
    <w:name w:val="Верхний колонтитул Знак"/>
    <w:link w:val="af3"/>
    <w:uiPriority w:val="99"/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note text"/>
    <w:basedOn w:val="a"/>
    <w:link w:val="14"/>
    <w:uiPriority w:val="99"/>
    <w:semiHidden/>
  </w:style>
  <w:style w:type="character" w:customStyle="1" w:styleId="14">
    <w:name w:val="Текст сноски Знак1"/>
    <w:link w:val="af6"/>
    <w:semiHidden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tez0">
    <w:name w:val="te_z0"/>
    <w:basedOn w:val="a"/>
    <w:next w:val="a"/>
    <w:pPr>
      <w:keepNext/>
      <w:numPr>
        <w:numId w:val="3"/>
      </w:numPr>
      <w:spacing w:after="120"/>
      <w:jc w:val="center"/>
    </w:pPr>
    <w:rPr>
      <w:rFonts w:ascii="Arial" w:hAnsi="Arial" w:cs="Arial"/>
      <w:b/>
      <w:caps/>
      <w:sz w:val="24"/>
      <w:szCs w:val="24"/>
    </w:rPr>
  </w:style>
  <w:style w:type="paragraph" w:customStyle="1" w:styleId="tez01">
    <w:name w:val="te_z01"/>
    <w:basedOn w:val="a"/>
    <w:next w:val="a"/>
    <w:pPr>
      <w:keepNext/>
      <w:numPr>
        <w:ilvl w:val="1"/>
        <w:numId w:val="3"/>
      </w:numPr>
      <w:spacing w:after="60"/>
      <w:jc w:val="both"/>
    </w:pPr>
    <w:rPr>
      <w:rFonts w:cs="Arial"/>
      <w:b/>
      <w:sz w:val="24"/>
      <w:szCs w:val="24"/>
    </w:rPr>
  </w:style>
  <w:style w:type="paragraph" w:customStyle="1" w:styleId="tez012">
    <w:name w:val="te_z012"/>
    <w:basedOn w:val="a"/>
    <w:pPr>
      <w:numPr>
        <w:ilvl w:val="2"/>
        <w:numId w:val="3"/>
      </w:numPr>
      <w:spacing w:after="60"/>
      <w:jc w:val="both"/>
    </w:pPr>
    <w:rPr>
      <w:rFonts w:cs="Arial"/>
      <w:sz w:val="24"/>
      <w:szCs w:val="24"/>
    </w:rPr>
  </w:style>
  <w:style w:type="paragraph" w:customStyle="1" w:styleId="tez012a">
    <w:name w:val="te_z012a"/>
    <w:basedOn w:val="a"/>
    <w:next w:val="tez012"/>
    <w:pPr>
      <w:numPr>
        <w:ilvl w:val="3"/>
        <w:numId w:val="3"/>
      </w:numPr>
      <w:jc w:val="both"/>
    </w:pPr>
    <w:rPr>
      <w:rFonts w:cs="Arial"/>
      <w:sz w:val="24"/>
      <w:szCs w:val="24"/>
    </w:rPr>
  </w:style>
  <w:style w:type="paragraph" w:customStyle="1" w:styleId="28">
    <w:name w:val="Знак Знак Знак2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2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">
    <w:name w:val="Char Char Знак Знак"/>
    <w:basedOn w:val="a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"/>
    <w:semiHidden/>
  </w:style>
  <w:style w:type="paragraph" w:styleId="afa">
    <w:name w:val="annotation subject"/>
    <w:basedOn w:val="af9"/>
    <w:next w:val="af9"/>
    <w:semiHidden/>
    <w:rPr>
      <w:b/>
      <w:bCs/>
    </w:rPr>
  </w:style>
  <w:style w:type="table" w:styleId="a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Знак Знак Знак Знак Знак"/>
    <w:basedOn w:val="a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customStyle="1" w:styleId="ConsNormal">
    <w:name w:val="ConsNormal"/>
    <w:pPr>
      <w:ind w:right="19772" w:firstLine="720"/>
    </w:pPr>
    <w:rPr>
      <w:rFonts w:ascii="Arial" w:hAnsi="Arial" w:cs="Arial"/>
    </w:rPr>
  </w:style>
  <w:style w:type="paragraph" w:styleId="afd">
    <w:name w:val="List Paragraph"/>
    <w:basedOn w:val="a"/>
    <w:link w:val="afe"/>
    <w:uiPriority w:val="34"/>
    <w:qFormat/>
    <w:pPr>
      <w:spacing w:after="120"/>
      <w:ind w:left="567"/>
      <w:contextualSpacing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afe">
    <w:name w:val="Абзац списка Знак"/>
    <w:link w:val="afd"/>
    <w:uiPriority w:val="34"/>
    <w:qFormat/>
    <w:rPr>
      <w:rFonts w:ascii="Arial" w:eastAsia="Arial" w:hAnsi="Arial"/>
      <w:sz w:val="22"/>
      <w:szCs w:val="22"/>
      <w:lang w:val="en-US" w:eastAsia="en-US"/>
    </w:rPr>
  </w:style>
  <w:style w:type="character" w:styleId="aff">
    <w:name w:val="footnote reference"/>
    <w:uiPriority w:val="99"/>
    <w:unhideWhenUsed/>
    <w:rPr>
      <w:vertAlign w:val="superscript"/>
    </w:rPr>
  </w:style>
  <w:style w:type="character" w:customStyle="1" w:styleId="FontStyle21">
    <w:name w:val="Font Style21"/>
    <w:uiPriority w:val="99"/>
    <w:rPr>
      <w:rFonts w:ascii="Arial" w:hAnsi="Arial" w:cs="Arial"/>
      <w:sz w:val="16"/>
      <w:szCs w:val="16"/>
    </w:rPr>
  </w:style>
  <w:style w:type="paragraph" w:styleId="aff0">
    <w:name w:val="Plain Text"/>
    <w:basedOn w:val="a"/>
    <w:link w:val="aff1"/>
    <w:uiPriority w:val="99"/>
    <w:unhideWhenUsed/>
    <w:rPr>
      <w:rFonts w:ascii="Courier New" w:hAnsi="Courier New"/>
    </w:rPr>
  </w:style>
  <w:style w:type="character" w:customStyle="1" w:styleId="aff1">
    <w:name w:val="Текст Знак"/>
    <w:link w:val="aff0"/>
    <w:uiPriority w:val="99"/>
    <w:rPr>
      <w:rFonts w:ascii="Courier New" w:hAnsi="Courier New"/>
    </w:rPr>
  </w:style>
  <w:style w:type="character" w:customStyle="1" w:styleId="aff2">
    <w:name w:val="Текст сноски Знак"/>
    <w:uiPriority w:val="99"/>
    <w:semiHidden/>
    <w:rPr>
      <w:lang w:val="en-US"/>
    </w:rPr>
  </w:style>
  <w:style w:type="paragraph" w:styleId="aff3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Обычный1"/>
    <w:link w:val="CharChar0"/>
    <w:uiPriority w:val="99"/>
    <w:pPr>
      <w:spacing w:before="100" w:after="100"/>
    </w:pPr>
    <w:rPr>
      <w:rFonts w:eastAsia="Calibri"/>
      <w:sz w:val="24"/>
    </w:rPr>
  </w:style>
  <w:style w:type="character" w:customStyle="1" w:styleId="CharChar0">
    <w:name w:val="Обычный Char Char"/>
    <w:link w:val="15"/>
    <w:uiPriority w:val="99"/>
    <w:rPr>
      <w:rFonts w:eastAsia="Calibri"/>
      <w:sz w:val="24"/>
    </w:rPr>
  </w:style>
  <w:style w:type="character" w:customStyle="1" w:styleId="Bodytext7">
    <w:name w:val="Body text (7)_"/>
    <w:link w:val="Bodytext70"/>
    <w:uiPriority w:val="99"/>
    <w:rPr>
      <w:b/>
      <w:bCs/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uiPriority w:val="99"/>
    <w:pPr>
      <w:widowControl w:val="0"/>
      <w:shd w:val="clear" w:color="auto" w:fill="FFFFFF"/>
      <w:spacing w:before="540" w:line="317" w:lineRule="exact"/>
      <w:jc w:val="both"/>
    </w:pPr>
    <w:rPr>
      <w:b/>
      <w:bCs/>
      <w:sz w:val="27"/>
      <w:szCs w:val="27"/>
    </w:rPr>
  </w:style>
  <w:style w:type="character" w:customStyle="1" w:styleId="aff4">
    <w:name w:val="Без интервала Знак"/>
    <w:link w:val="aff5"/>
    <w:uiPriority w:val="1"/>
    <w:rPr>
      <w:rFonts w:ascii="Calibri" w:hAnsi="Calibri"/>
    </w:rPr>
  </w:style>
  <w:style w:type="paragraph" w:styleId="aff5">
    <w:name w:val="No Spacing"/>
    <w:link w:val="aff4"/>
    <w:uiPriority w:val="1"/>
    <w:qFormat/>
    <w:rPr>
      <w:rFonts w:ascii="Calibri" w:hAnsi="Calibri"/>
    </w:rPr>
  </w:style>
  <w:style w:type="paragraph" w:customStyle="1" w:styleId="2a">
    <w:name w:val="Обычный2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Text">
    <w:name w:val="Text"/>
    <w:basedOn w:val="a"/>
    <w:pPr>
      <w:spacing w:after="240"/>
    </w:pPr>
    <w:rPr>
      <w:sz w:val="24"/>
      <w:lang w:val="en-US" w:eastAsia="en-US"/>
    </w:rPr>
  </w:style>
  <w:style w:type="paragraph" w:customStyle="1" w:styleId="waa">
    <w:name w:val="waa"/>
    <w:basedOn w:val="a"/>
    <w:pPr>
      <w:widowControl w:val="0"/>
      <w:tabs>
        <w:tab w:val="center" w:pos="4152"/>
        <w:tab w:val="right" w:pos="8305"/>
      </w:tabs>
    </w:pPr>
    <w:rPr>
      <w:rFonts w:eastAsia="Arial Unicode MS"/>
      <w:szCs w:val="24"/>
    </w:rPr>
  </w:style>
  <w:style w:type="paragraph" w:customStyle="1" w:styleId="1">
    <w:name w:val="ПрилТекст1"/>
    <w:basedOn w:val="a"/>
    <w:pPr>
      <w:numPr>
        <w:numId w:val="11"/>
      </w:numPr>
      <w:spacing w:before="60"/>
      <w:jc w:val="both"/>
    </w:pPr>
    <w:rPr>
      <w:sz w:val="26"/>
    </w:rPr>
  </w:style>
  <w:style w:type="paragraph" w:customStyle="1" w:styleId="2">
    <w:name w:val="ПрилТекст2"/>
    <w:basedOn w:val="a"/>
    <w:pPr>
      <w:numPr>
        <w:ilvl w:val="1"/>
        <w:numId w:val="11"/>
      </w:numPr>
      <w:spacing w:before="60"/>
      <w:jc w:val="both"/>
    </w:pPr>
    <w:rPr>
      <w:sz w:val="26"/>
    </w:rPr>
  </w:style>
  <w:style w:type="paragraph" w:customStyle="1" w:styleId="3">
    <w:name w:val="ПрилТекст3"/>
    <w:basedOn w:val="a"/>
    <w:pPr>
      <w:numPr>
        <w:ilvl w:val="2"/>
        <w:numId w:val="11"/>
      </w:numPr>
      <w:spacing w:before="60"/>
      <w:jc w:val="both"/>
    </w:pPr>
    <w:rPr>
      <w:sz w:val="26"/>
    </w:rPr>
  </w:style>
  <w:style w:type="paragraph" w:styleId="aff6">
    <w:name w:val="endnote text"/>
    <w:basedOn w:val="a"/>
    <w:link w:val="aff7"/>
    <w:uiPriority w:val="99"/>
    <w:unhideWhenUsed/>
    <w:rPr>
      <w:rFonts w:ascii="Calibri" w:eastAsia="Calibri" w:hAnsi="Calibri"/>
      <w:lang w:eastAsia="en-US"/>
    </w:rPr>
  </w:style>
  <w:style w:type="character" w:customStyle="1" w:styleId="aff7">
    <w:name w:val="Текст концевой сноски Знак"/>
    <w:link w:val="aff6"/>
    <w:uiPriority w:val="99"/>
    <w:rPr>
      <w:rFonts w:ascii="Calibri" w:eastAsia="Calibri" w:hAnsi="Calibri"/>
      <w:lang w:eastAsia="en-US"/>
    </w:rPr>
  </w:style>
  <w:style w:type="character" w:styleId="aff8">
    <w:name w:val="endnote reference"/>
    <w:uiPriority w:val="99"/>
    <w:unhideWhenUsed/>
    <w:rPr>
      <w:vertAlign w:val="superscript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8">
    <w:name w:val="xl98"/>
    <w:basedOn w:val="a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pPr>
      <w:pBdr>
        <w:left w:val="single" w:sz="4" w:space="0" w:color="000000"/>
        <w:bottom w:val="single" w:sz="4" w:space="0" w:color="000000"/>
      </w:pBdr>
      <w:shd w:val="clear" w:color="000000" w:fill="auto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pP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pPr>
      <w:pBdr>
        <w:left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1">
    <w:name w:val="Heading #1_"/>
    <w:link w:val="Heading10"/>
    <w:uiPriority w:val="99"/>
    <w:rPr>
      <w:b/>
      <w:bCs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pPr>
      <w:widowControl w:val="0"/>
      <w:shd w:val="clear" w:color="auto" w:fill="FFFFFF"/>
      <w:spacing w:before="300" w:line="317" w:lineRule="exact"/>
      <w:ind w:firstLine="700"/>
      <w:jc w:val="both"/>
      <w:outlineLvl w:val="0"/>
    </w:pPr>
    <w:rPr>
      <w:b/>
      <w:bCs/>
      <w:sz w:val="27"/>
      <w:szCs w:val="27"/>
    </w:rPr>
  </w:style>
  <w:style w:type="character" w:customStyle="1" w:styleId="16">
    <w:name w:val="Основной текст Знак1"/>
    <w:uiPriority w:val="99"/>
    <w:rPr>
      <w:rFonts w:ascii="Times New Roman" w:hAnsi="Times New Roman" w:cs="Times New Roman" w:hint="default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565D7-6EBC-4A57-A43F-444565B7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2668</Words>
  <Characters>15210</Characters>
  <Application>Microsoft Office Word</Application>
  <DocSecurity>0</DocSecurity>
  <Lines>126</Lines>
  <Paragraphs>35</Paragraphs>
  <ScaleCrop>false</ScaleCrop>
  <Company>RAO</Company>
  <LinksUpToDate>false</LinksUpToDate>
  <CharactersWithSpaces>17843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консультационных услуг</dc:title>
  <dc:subject/>
  <dc:creator>Марина С. Аксенова</dc:creator>
  <cp:keywords/>
  <dc:description/>
  <cp:lastModifiedBy>Сухонина Татьяна Александровна</cp:lastModifiedBy>
  <cp:revision>62</cp:revision>
  <dcterms:created xsi:type="dcterms:W3CDTF">2025-05-30T05:39:00Z</dcterms:created>
  <dcterms:modified xsi:type="dcterms:W3CDTF">2026-04-13T13:55:00Z</dcterms:modified>
</cp:coreProperties>
</file>